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1A698" w14:textId="03391B13" w:rsidR="002A064B" w:rsidRDefault="002A064B" w:rsidP="002A064B">
      <w:pPr>
        <w:tabs>
          <w:tab w:val="left" w:pos="4320"/>
        </w:tabs>
        <w:ind w:firstLine="720"/>
        <w:rPr>
          <w:rFonts w:ascii="Times New Roman" w:hAnsi="Times New Roman" w:cs="Times New Roman"/>
        </w:rPr>
      </w:pPr>
      <w:r>
        <w:rPr>
          <w:rFonts w:ascii="Times New Roman" w:hAnsi="Times New Roman" w:cs="Times New Roman"/>
        </w:rPr>
        <w:t>HIS 949</w:t>
      </w:r>
    </w:p>
    <w:p w14:paraId="7A9B67B2" w14:textId="34EF08CE" w:rsidR="002A064B" w:rsidRDefault="002A064B" w:rsidP="002A064B">
      <w:pPr>
        <w:tabs>
          <w:tab w:val="left" w:pos="4320"/>
        </w:tabs>
        <w:ind w:firstLine="720"/>
        <w:rPr>
          <w:rFonts w:ascii="Times New Roman" w:hAnsi="Times New Roman" w:cs="Times New Roman"/>
        </w:rPr>
      </w:pPr>
      <w:r>
        <w:rPr>
          <w:rFonts w:ascii="Times New Roman" w:hAnsi="Times New Roman" w:cs="Times New Roman"/>
        </w:rPr>
        <w:t>Nikki Milano</w:t>
      </w:r>
    </w:p>
    <w:p w14:paraId="5C5C25A6" w14:textId="77777777" w:rsidR="002A064B" w:rsidRDefault="002A064B" w:rsidP="002A064B">
      <w:pPr>
        <w:tabs>
          <w:tab w:val="left" w:pos="4320"/>
        </w:tabs>
        <w:ind w:firstLine="720"/>
        <w:rPr>
          <w:rFonts w:ascii="Times New Roman" w:hAnsi="Times New Roman" w:cs="Times New Roman"/>
        </w:rPr>
      </w:pPr>
      <w:bookmarkStart w:id="0" w:name="_GoBack"/>
      <w:bookmarkEnd w:id="0"/>
    </w:p>
    <w:p w14:paraId="36E61CE3" w14:textId="40D046FF" w:rsidR="002A064B" w:rsidRPr="002A064B" w:rsidRDefault="002A064B" w:rsidP="002A064B">
      <w:pPr>
        <w:tabs>
          <w:tab w:val="left" w:pos="4320"/>
        </w:tabs>
        <w:spacing w:line="480" w:lineRule="auto"/>
        <w:ind w:firstLine="720"/>
        <w:jc w:val="center"/>
        <w:rPr>
          <w:rFonts w:ascii="Times New Roman" w:hAnsi="Times New Roman" w:cs="Times New Roman"/>
          <w:i/>
        </w:rPr>
      </w:pPr>
      <w:r w:rsidRPr="002A064B">
        <w:rPr>
          <w:rFonts w:ascii="Times New Roman" w:hAnsi="Times New Roman" w:cs="Times New Roman"/>
          <w:i/>
        </w:rPr>
        <w:t>Muller vs. Oregon</w:t>
      </w:r>
    </w:p>
    <w:p w14:paraId="5C53281B" w14:textId="3898E37E" w:rsidR="0095107E" w:rsidRDefault="00870E92" w:rsidP="005161A6">
      <w:pPr>
        <w:tabs>
          <w:tab w:val="left" w:pos="4320"/>
        </w:tabs>
        <w:spacing w:line="480" w:lineRule="auto"/>
        <w:ind w:firstLine="720"/>
      </w:pPr>
      <w:r w:rsidRPr="005161A6">
        <w:rPr>
          <w:rFonts w:ascii="Times New Roman" w:hAnsi="Times New Roman" w:cs="Times New Roman"/>
        </w:rPr>
        <w:t xml:space="preserve">The </w:t>
      </w:r>
      <w:r w:rsidRPr="003C0D03">
        <w:rPr>
          <w:rFonts w:ascii="Times New Roman" w:hAnsi="Times New Roman" w:cs="Times New Roman"/>
          <w:i/>
        </w:rPr>
        <w:t>Muller vs. Oregon</w:t>
      </w:r>
      <w:r w:rsidR="002A064B">
        <w:rPr>
          <w:rFonts w:ascii="Times New Roman" w:hAnsi="Times New Roman" w:cs="Times New Roman"/>
          <w:i/>
        </w:rPr>
        <w:t xml:space="preserve"> </w:t>
      </w:r>
      <w:r w:rsidR="002A064B">
        <w:rPr>
          <w:rFonts w:ascii="Times New Roman" w:hAnsi="Times New Roman" w:cs="Times New Roman"/>
        </w:rPr>
        <w:t xml:space="preserve">of 1908, </w:t>
      </w:r>
      <w:r w:rsidRPr="005161A6">
        <w:rPr>
          <w:rFonts w:ascii="Times New Roman" w:hAnsi="Times New Roman" w:cs="Times New Roman"/>
        </w:rPr>
        <w:t>court case upheld the state restri</w:t>
      </w:r>
      <w:r w:rsidR="003C0D03">
        <w:rPr>
          <w:rFonts w:ascii="Times New Roman" w:hAnsi="Times New Roman" w:cs="Times New Roman"/>
        </w:rPr>
        <w:t xml:space="preserve">ctions that Oregon put </w:t>
      </w:r>
      <w:r w:rsidRPr="005161A6">
        <w:rPr>
          <w:rFonts w:ascii="Times New Roman" w:hAnsi="Times New Roman" w:cs="Times New Roman"/>
        </w:rPr>
        <w:t>on the working hours of women, which consequently protected the</w:t>
      </w:r>
      <w:r w:rsidR="003C0D03">
        <w:rPr>
          <w:rFonts w:ascii="Times New Roman" w:hAnsi="Times New Roman" w:cs="Times New Roman"/>
        </w:rPr>
        <w:t>ir health.  In 1908, Curt Muller</w:t>
      </w:r>
      <w:r w:rsidRPr="005161A6">
        <w:rPr>
          <w:rFonts w:ascii="Times New Roman" w:hAnsi="Times New Roman" w:cs="Times New Roman"/>
        </w:rPr>
        <w:t xml:space="preserve"> was convicted of violating the labor law in Oregon. He allowed a female to work more than 10 hours in one day, and was later fined $10. T</w:t>
      </w:r>
      <w:r w:rsidR="003C0D03">
        <w:rPr>
          <w:rFonts w:ascii="Times New Roman" w:hAnsi="Times New Roman" w:cs="Times New Roman"/>
        </w:rPr>
        <w:t>he main issue of this case was</w:t>
      </w:r>
      <w:r w:rsidRPr="005161A6">
        <w:rPr>
          <w:rFonts w:ascii="Times New Roman" w:hAnsi="Times New Roman" w:cs="Times New Roman"/>
        </w:rPr>
        <w:t xml:space="preserve">, </w:t>
      </w:r>
      <w:r w:rsidR="003C0D03" w:rsidRPr="005161A6">
        <w:rPr>
          <w:rFonts w:ascii="Times New Roman" w:hAnsi="Times New Roman" w:cs="Times New Roman"/>
        </w:rPr>
        <w:t>is</w:t>
      </w:r>
      <w:r w:rsidRPr="005161A6">
        <w:rPr>
          <w:rFonts w:ascii="Times New Roman" w:hAnsi="Times New Roman" w:cs="Times New Roman"/>
        </w:rPr>
        <w:t xml:space="preserve"> a state law setting a maximum </w:t>
      </w:r>
      <w:r w:rsidR="003C0D03">
        <w:rPr>
          <w:rFonts w:ascii="Times New Roman" w:hAnsi="Times New Roman" w:cs="Times New Roman"/>
        </w:rPr>
        <w:t>workday for women constitutional, and should Muller be fined for allowing a woman to work more than 10 hours in one working day?</w:t>
      </w:r>
      <w:r w:rsidRPr="005161A6">
        <w:rPr>
          <w:rStyle w:val="FootnoteReference"/>
          <w:rFonts w:ascii="Times New Roman" w:hAnsi="Times New Roman" w:cs="Times New Roman"/>
        </w:rPr>
        <w:footnoteReference w:id="1"/>
      </w:r>
      <w:r w:rsidR="007F7258" w:rsidRPr="005161A6">
        <w:rPr>
          <w:rFonts w:ascii="Times New Roman" w:hAnsi="Times New Roman" w:cs="Times New Roman"/>
        </w:rPr>
        <w:t xml:space="preserve">  However, Curt Muller </w:t>
      </w:r>
      <w:r w:rsidR="003C0D03">
        <w:rPr>
          <w:rFonts w:ascii="Times New Roman" w:hAnsi="Times New Roman" w:cs="Times New Roman"/>
        </w:rPr>
        <w:t>argued that the Oregon law, which prohibited women to work more than 10 hours a day,</w:t>
      </w:r>
      <w:r w:rsidR="002A064B">
        <w:rPr>
          <w:rFonts w:ascii="Times New Roman" w:hAnsi="Times New Roman" w:cs="Times New Roman"/>
        </w:rPr>
        <w:t xml:space="preserve"> was </w:t>
      </w:r>
      <w:r w:rsidR="007F7258" w:rsidRPr="005161A6">
        <w:rPr>
          <w:rFonts w:ascii="Times New Roman" w:hAnsi="Times New Roman" w:cs="Times New Roman"/>
        </w:rPr>
        <w:t>unconstitutiona</w:t>
      </w:r>
      <w:r w:rsidR="000266D6" w:rsidRPr="005161A6">
        <w:rPr>
          <w:rFonts w:ascii="Times New Roman" w:hAnsi="Times New Roman" w:cs="Times New Roman"/>
        </w:rPr>
        <w:t>l.</w:t>
      </w:r>
      <w:r w:rsidR="007F7258" w:rsidRPr="005161A6">
        <w:rPr>
          <w:rStyle w:val="FootnoteReference"/>
          <w:rFonts w:ascii="Times New Roman" w:hAnsi="Times New Roman" w:cs="Times New Roman"/>
        </w:rPr>
        <w:footnoteReference w:id="2"/>
      </w:r>
      <w:r w:rsidR="007F7258" w:rsidRPr="005161A6">
        <w:rPr>
          <w:rFonts w:ascii="Times New Roman" w:hAnsi="Times New Roman" w:cs="Times New Roman"/>
        </w:rPr>
        <w:t xml:space="preserve"> </w:t>
      </w:r>
      <w:r w:rsidR="003C0D03">
        <w:rPr>
          <w:rFonts w:ascii="Times New Roman" w:hAnsi="Times New Roman" w:cs="Times New Roman"/>
        </w:rPr>
        <w:t xml:space="preserve"> Muller argues this because he thought that it violated the 14</w:t>
      </w:r>
      <w:r w:rsidR="003C0D03" w:rsidRPr="003C0D03">
        <w:rPr>
          <w:rFonts w:ascii="Times New Roman" w:hAnsi="Times New Roman" w:cs="Times New Roman"/>
          <w:vertAlign w:val="superscript"/>
        </w:rPr>
        <w:t>th</w:t>
      </w:r>
      <w:r w:rsidR="003C0D03">
        <w:rPr>
          <w:rFonts w:ascii="Times New Roman" w:hAnsi="Times New Roman" w:cs="Times New Roman"/>
        </w:rPr>
        <w:t xml:space="preserve"> Amendment of the United States Con</w:t>
      </w:r>
      <w:r w:rsidR="002A064B">
        <w:rPr>
          <w:rFonts w:ascii="Times New Roman" w:hAnsi="Times New Roman" w:cs="Times New Roman"/>
        </w:rPr>
        <w:t>stitution. This amendment stated</w:t>
      </w:r>
      <w:r w:rsidR="003C0D03">
        <w:rPr>
          <w:rFonts w:ascii="Times New Roman" w:hAnsi="Times New Roman" w:cs="Times New Roman"/>
        </w:rPr>
        <w:t xml:space="preserve">, </w:t>
      </w:r>
      <w:r w:rsidR="003C0D03" w:rsidRPr="005161A6">
        <w:rPr>
          <w:rFonts w:ascii="Times New Roman" w:hAnsi="Times New Roman" w:cs="Times New Roman"/>
        </w:rPr>
        <w:t xml:space="preserve">“All persons born or naturalized in the United States…forbids states from denying any person life, liberty or property, without due process of law” or to “deny any person within its jurisdiction the equal protection of laws.” </w:t>
      </w:r>
      <w:r w:rsidR="003C0D03" w:rsidRPr="005161A6">
        <w:rPr>
          <w:rStyle w:val="FootnoteReference"/>
          <w:rFonts w:ascii="Times New Roman" w:hAnsi="Times New Roman" w:cs="Times New Roman"/>
        </w:rPr>
        <w:footnoteReference w:id="3"/>
      </w:r>
      <w:r w:rsidR="003C0D03">
        <w:rPr>
          <w:rFonts w:ascii="Times New Roman" w:hAnsi="Times New Roman" w:cs="Times New Roman"/>
        </w:rPr>
        <w:t xml:space="preserve"> Muller said that the pervious Oregon working hour restrictions for women was in violation of the 14</w:t>
      </w:r>
      <w:r w:rsidR="003C0D03" w:rsidRPr="003C0D03">
        <w:rPr>
          <w:rFonts w:ascii="Times New Roman" w:hAnsi="Times New Roman" w:cs="Times New Roman"/>
          <w:vertAlign w:val="superscript"/>
        </w:rPr>
        <w:t>th</w:t>
      </w:r>
      <w:r w:rsidR="002A064B">
        <w:rPr>
          <w:rFonts w:ascii="Times New Roman" w:hAnsi="Times New Roman" w:cs="Times New Roman"/>
        </w:rPr>
        <w:t xml:space="preserve"> A</w:t>
      </w:r>
      <w:r w:rsidR="003C0D03">
        <w:rPr>
          <w:rFonts w:ascii="Times New Roman" w:hAnsi="Times New Roman" w:cs="Times New Roman"/>
        </w:rPr>
        <w:t xml:space="preserve">mendment because it denied females the right to contract, and </w:t>
      </w:r>
      <w:r w:rsidR="002A064B">
        <w:rPr>
          <w:rFonts w:ascii="Times New Roman" w:hAnsi="Times New Roman" w:cs="Times New Roman"/>
        </w:rPr>
        <w:t xml:space="preserve">equal protection under </w:t>
      </w:r>
      <w:r w:rsidR="002A064B">
        <w:rPr>
          <w:rFonts w:ascii="Times New Roman" w:hAnsi="Times New Roman" w:cs="Times New Roman"/>
        </w:rPr>
        <w:lastRenderedPageBreak/>
        <w:t>the law</w:t>
      </w:r>
      <w:r w:rsidR="003C0D03">
        <w:rPr>
          <w:rFonts w:ascii="Times New Roman" w:hAnsi="Times New Roman" w:cs="Times New Roman"/>
        </w:rPr>
        <w:t xml:space="preserve">. However, </w:t>
      </w:r>
      <w:r w:rsidR="000266D6" w:rsidRPr="005161A6">
        <w:rPr>
          <w:rFonts w:ascii="Times New Roman" w:hAnsi="Times New Roman" w:cs="Times New Roman"/>
        </w:rPr>
        <w:t xml:space="preserve">Louis Brandeis defended Oregon by stating that there was a direct link between working long hours and a woman’s health and </w:t>
      </w:r>
      <w:r w:rsidR="002A064B">
        <w:rPr>
          <w:rFonts w:ascii="Times New Roman" w:hAnsi="Times New Roman" w:cs="Times New Roman"/>
        </w:rPr>
        <w:t>that it was valid for Oregon to</w:t>
      </w:r>
      <w:r w:rsidR="000266D6" w:rsidRPr="005161A6">
        <w:rPr>
          <w:rFonts w:ascii="Times New Roman" w:hAnsi="Times New Roman" w:cs="Times New Roman"/>
        </w:rPr>
        <w:t xml:space="preserve"> use that power to protect the women of their state. In the en</w:t>
      </w:r>
      <w:r w:rsidR="002A064B">
        <w:rPr>
          <w:rFonts w:ascii="Times New Roman" w:hAnsi="Times New Roman" w:cs="Times New Roman"/>
        </w:rPr>
        <w:t>d, the state of Oregon won by an unanimous decision</w:t>
      </w:r>
      <w:r w:rsidR="000266D6" w:rsidRPr="005161A6">
        <w:rPr>
          <w:rFonts w:ascii="Times New Roman" w:hAnsi="Times New Roman" w:cs="Times New Roman"/>
        </w:rPr>
        <w:t>, in a 9-0 vote.</w:t>
      </w:r>
      <w:r w:rsidR="000266D6" w:rsidRPr="005161A6">
        <w:rPr>
          <w:rStyle w:val="FootnoteReference"/>
          <w:rFonts w:ascii="Times New Roman" w:hAnsi="Times New Roman" w:cs="Times New Roman"/>
        </w:rPr>
        <w:footnoteReference w:id="4"/>
      </w:r>
      <w:r w:rsidR="005161A6" w:rsidRPr="005161A6">
        <w:rPr>
          <w:rFonts w:ascii="Times New Roman" w:hAnsi="Times New Roman" w:cs="Times New Roman"/>
        </w:rPr>
        <w:t xml:space="preserve"> All in all, this case was important because it allowed the court to approve state reforms. It was an important precedent to many other court cases in American history such as, Brown v. Board of Educ</w:t>
      </w:r>
      <w:r w:rsidR="005161A6">
        <w:t>ation</w:t>
      </w:r>
      <w:r w:rsidR="002A064B">
        <w:t>, in 1954</w:t>
      </w:r>
      <w:r w:rsidR="005161A6">
        <w:t xml:space="preserve">. </w:t>
      </w:r>
      <w:r w:rsidR="005161A6">
        <w:rPr>
          <w:rStyle w:val="FootnoteReference"/>
        </w:rPr>
        <w:footnoteReference w:id="5"/>
      </w:r>
    </w:p>
    <w:sectPr w:rsidR="0095107E" w:rsidSect="009E440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438A9" w14:textId="77777777" w:rsidR="00EB52C5" w:rsidRDefault="00EB52C5" w:rsidP="00870E92">
      <w:r>
        <w:separator/>
      </w:r>
    </w:p>
  </w:endnote>
  <w:endnote w:type="continuationSeparator" w:id="0">
    <w:p w14:paraId="3B1361D2" w14:textId="77777777" w:rsidR="00EB52C5" w:rsidRDefault="00EB52C5" w:rsidP="0087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7822" w14:textId="77777777" w:rsidR="00EB52C5" w:rsidRDefault="00EB52C5" w:rsidP="00870E92">
      <w:r>
        <w:separator/>
      </w:r>
    </w:p>
  </w:footnote>
  <w:footnote w:type="continuationSeparator" w:id="0">
    <w:p w14:paraId="2FE01B0E" w14:textId="77777777" w:rsidR="00EB52C5" w:rsidRDefault="00EB52C5" w:rsidP="00870E92">
      <w:r>
        <w:continuationSeparator/>
      </w:r>
    </w:p>
  </w:footnote>
  <w:footnote w:id="1">
    <w:p w14:paraId="3DC19B36" w14:textId="77777777" w:rsidR="005161A6" w:rsidRDefault="00EB52C5" w:rsidP="005161A6">
      <w:pPr>
        <w:pStyle w:val="FootnoteText"/>
        <w:ind w:firstLine="720"/>
        <w:rPr>
          <w:rFonts w:ascii="Times New Roman" w:hAnsi="Times New Roman" w:cs="Times New Roman"/>
        </w:rPr>
      </w:pPr>
      <w:r w:rsidRPr="005161A6">
        <w:rPr>
          <w:rStyle w:val="FootnoteReference"/>
          <w:rFonts w:ascii="Times New Roman" w:hAnsi="Times New Roman" w:cs="Times New Roman"/>
        </w:rPr>
        <w:footnoteRef/>
      </w:r>
      <w:r w:rsidRPr="005161A6">
        <w:rPr>
          <w:rFonts w:ascii="Times New Roman" w:hAnsi="Times New Roman" w:cs="Times New Roman"/>
        </w:rPr>
        <w:t xml:space="preserve"> </w:t>
      </w:r>
      <w:r w:rsidR="005161A6">
        <w:rPr>
          <w:rFonts w:ascii="Times New Roman" w:hAnsi="Times New Roman" w:cs="Times New Roman"/>
        </w:rPr>
        <w:t xml:space="preserve">. </w:t>
      </w:r>
      <w:r w:rsidRPr="005161A6">
        <w:rPr>
          <w:rFonts w:ascii="Times New Roman" w:hAnsi="Times New Roman" w:cs="Times New Roman"/>
        </w:rPr>
        <w:t xml:space="preserve">Student Central: Key Supreme Court Cases,  “Muller v. Oregon”, American Bar Association, Last modified 2012, </w:t>
      </w:r>
    </w:p>
    <w:p w14:paraId="476C2E40" w14:textId="77777777" w:rsidR="00EB52C5" w:rsidRDefault="002A064B" w:rsidP="005161A6">
      <w:pPr>
        <w:pStyle w:val="FootnoteText"/>
        <w:rPr>
          <w:rFonts w:ascii="Times New Roman" w:hAnsi="Times New Roman" w:cs="Times New Roman"/>
        </w:rPr>
      </w:pPr>
      <w:hyperlink r:id="rId1" w:history="1">
        <w:r w:rsidR="005161A6" w:rsidRPr="00802961">
          <w:rPr>
            <w:rStyle w:val="Hyperlink"/>
            <w:rFonts w:ascii="Times New Roman" w:hAnsi="Times New Roman" w:cs="Times New Roman"/>
          </w:rPr>
          <w:t>http://www.americanbar.org/groups/public_education/initiatives_awards/students_in_action/muller.html</w:t>
        </w:r>
      </w:hyperlink>
    </w:p>
    <w:p w14:paraId="1C37199B" w14:textId="77777777" w:rsidR="005161A6" w:rsidRPr="005161A6" w:rsidRDefault="005161A6" w:rsidP="005161A6">
      <w:pPr>
        <w:pStyle w:val="FootnoteText"/>
        <w:rPr>
          <w:rFonts w:ascii="Times New Roman" w:hAnsi="Times New Roman" w:cs="Times New Roman"/>
        </w:rPr>
      </w:pPr>
    </w:p>
  </w:footnote>
  <w:footnote w:id="2">
    <w:p w14:paraId="08DE064F" w14:textId="77777777" w:rsidR="00EB52C5" w:rsidRDefault="00EB52C5" w:rsidP="005161A6">
      <w:pPr>
        <w:pStyle w:val="FootnoteText"/>
        <w:ind w:firstLine="720"/>
        <w:rPr>
          <w:rFonts w:ascii="Times New Roman" w:hAnsi="Times New Roman" w:cs="Times New Roman"/>
        </w:rPr>
      </w:pPr>
      <w:r w:rsidRPr="005161A6">
        <w:rPr>
          <w:rStyle w:val="FootnoteReference"/>
          <w:rFonts w:ascii="Times New Roman" w:hAnsi="Times New Roman" w:cs="Times New Roman"/>
        </w:rPr>
        <w:footnoteRef/>
      </w:r>
      <w:r w:rsidRPr="005161A6">
        <w:rPr>
          <w:rFonts w:ascii="Times New Roman" w:hAnsi="Times New Roman" w:cs="Times New Roman"/>
        </w:rPr>
        <w:t xml:space="preserve"> </w:t>
      </w:r>
      <w:r w:rsidR="005161A6">
        <w:rPr>
          <w:rFonts w:ascii="Times New Roman" w:hAnsi="Times New Roman" w:cs="Times New Roman"/>
        </w:rPr>
        <w:t xml:space="preserve">. </w:t>
      </w:r>
      <w:r w:rsidRPr="005161A6">
        <w:rPr>
          <w:rFonts w:ascii="Times New Roman" w:hAnsi="Times New Roman" w:cs="Times New Roman"/>
        </w:rPr>
        <w:t xml:space="preserve">eNotes, “Muller v. Oregon”,  eNotes, Last modified 2012, </w:t>
      </w:r>
      <w:hyperlink r:id="rId2" w:history="1">
        <w:r w:rsidR="005161A6" w:rsidRPr="00802961">
          <w:rPr>
            <w:rStyle w:val="Hyperlink"/>
            <w:rFonts w:ascii="Times New Roman" w:hAnsi="Times New Roman" w:cs="Times New Roman"/>
          </w:rPr>
          <w:t>http://www.enotes.com/muller-v-oregon-reference/muller-v-oregon</w:t>
        </w:r>
      </w:hyperlink>
    </w:p>
    <w:p w14:paraId="48A4C49D" w14:textId="77777777" w:rsidR="005161A6" w:rsidRPr="005161A6" w:rsidRDefault="005161A6" w:rsidP="005161A6">
      <w:pPr>
        <w:pStyle w:val="FootnoteText"/>
        <w:ind w:firstLine="720"/>
        <w:rPr>
          <w:rFonts w:ascii="Times New Roman" w:hAnsi="Times New Roman" w:cs="Times New Roman"/>
        </w:rPr>
      </w:pPr>
    </w:p>
  </w:footnote>
  <w:footnote w:id="3">
    <w:p w14:paraId="6FD6806F" w14:textId="739D143E" w:rsidR="003C0D03" w:rsidRDefault="003C0D03" w:rsidP="003C0D03">
      <w:pPr>
        <w:pStyle w:val="FootnoteText"/>
        <w:ind w:firstLine="720"/>
        <w:rPr>
          <w:rFonts w:ascii="Times New Roman" w:hAnsi="Times New Roman" w:cs="Times New Roman"/>
        </w:rPr>
      </w:pPr>
      <w:r w:rsidRPr="005161A6">
        <w:rPr>
          <w:rStyle w:val="FootnoteReference"/>
          <w:rFonts w:ascii="Times New Roman" w:hAnsi="Times New Roman" w:cs="Times New Roman"/>
        </w:rPr>
        <w:footnoteRef/>
      </w:r>
      <w:r>
        <w:rPr>
          <w:rFonts w:ascii="Times New Roman" w:hAnsi="Times New Roman" w:cs="Times New Roman"/>
        </w:rPr>
        <w:t>.</w:t>
      </w:r>
      <w:r w:rsidRPr="005161A6">
        <w:rPr>
          <w:rFonts w:ascii="Times New Roman" w:hAnsi="Times New Roman" w:cs="Times New Roman"/>
        </w:rPr>
        <w:t xml:space="preserve"> </w:t>
      </w:r>
      <w:r>
        <w:rPr>
          <w:rFonts w:ascii="Times New Roman" w:hAnsi="Times New Roman" w:cs="Times New Roman"/>
        </w:rPr>
        <w:t xml:space="preserve"> </w:t>
      </w:r>
      <w:r w:rsidRPr="005161A6">
        <w:rPr>
          <w:rFonts w:ascii="Times New Roman" w:hAnsi="Times New Roman" w:cs="Times New Roman"/>
        </w:rPr>
        <w:t xml:space="preserve">Web Guides, “Primary Documents in American History”, The Library of Congress, last modified August 24, 2012, </w:t>
      </w:r>
      <w:hyperlink r:id="rId3" w:history="1">
        <w:r w:rsidRPr="00802961">
          <w:rPr>
            <w:rStyle w:val="Hyperlink"/>
            <w:rFonts w:ascii="Times New Roman" w:hAnsi="Times New Roman" w:cs="Times New Roman"/>
          </w:rPr>
          <w:t>http://www.loc.gov/rr/program/bib/ourdocs/14thamendment.html</w:t>
        </w:r>
      </w:hyperlink>
    </w:p>
    <w:p w14:paraId="0449247C" w14:textId="77777777" w:rsidR="003C0D03" w:rsidRDefault="003C0D03" w:rsidP="003C0D03">
      <w:pPr>
        <w:pStyle w:val="FootnoteText"/>
        <w:ind w:firstLine="720"/>
      </w:pPr>
    </w:p>
  </w:footnote>
  <w:footnote w:id="4">
    <w:p w14:paraId="7417928C" w14:textId="77777777" w:rsidR="00EB52C5" w:rsidRDefault="00EB52C5" w:rsidP="005161A6">
      <w:pPr>
        <w:pStyle w:val="FootnoteText"/>
        <w:ind w:firstLine="720"/>
        <w:rPr>
          <w:rFonts w:ascii="Times New Roman" w:hAnsi="Times New Roman" w:cs="Times New Roman"/>
        </w:rPr>
      </w:pPr>
      <w:r w:rsidRPr="005161A6">
        <w:rPr>
          <w:rStyle w:val="FootnoteReference"/>
          <w:rFonts w:ascii="Times New Roman" w:hAnsi="Times New Roman" w:cs="Times New Roman"/>
        </w:rPr>
        <w:footnoteRef/>
      </w:r>
      <w:r w:rsidRPr="005161A6">
        <w:rPr>
          <w:rFonts w:ascii="Times New Roman" w:hAnsi="Times New Roman" w:cs="Times New Roman"/>
        </w:rPr>
        <w:t xml:space="preserve"> </w:t>
      </w:r>
      <w:r w:rsidR="005161A6">
        <w:rPr>
          <w:rFonts w:ascii="Times New Roman" w:hAnsi="Times New Roman" w:cs="Times New Roman"/>
        </w:rPr>
        <w:t xml:space="preserve">. </w:t>
      </w:r>
      <w:r w:rsidRPr="005161A6">
        <w:rPr>
          <w:rFonts w:ascii="Times New Roman" w:hAnsi="Times New Roman" w:cs="Times New Roman"/>
        </w:rPr>
        <w:t>Student Central: Key Supreme Court Cases</w:t>
      </w:r>
    </w:p>
    <w:p w14:paraId="475E0B0E" w14:textId="77777777" w:rsidR="005161A6" w:rsidRPr="005161A6" w:rsidRDefault="005161A6" w:rsidP="005161A6">
      <w:pPr>
        <w:pStyle w:val="FootnoteText"/>
        <w:ind w:firstLine="720"/>
        <w:rPr>
          <w:rFonts w:ascii="Times New Roman" w:hAnsi="Times New Roman" w:cs="Times New Roman"/>
        </w:rPr>
      </w:pPr>
    </w:p>
  </w:footnote>
  <w:footnote w:id="5">
    <w:p w14:paraId="77B53E39" w14:textId="77777777" w:rsidR="005161A6" w:rsidRDefault="005161A6" w:rsidP="005161A6">
      <w:pPr>
        <w:pStyle w:val="FootnoteText"/>
        <w:ind w:firstLine="720"/>
      </w:pPr>
      <w:r w:rsidRPr="005161A6">
        <w:rPr>
          <w:rStyle w:val="FootnoteReference"/>
          <w:rFonts w:ascii="Times" w:hAnsi="Times"/>
        </w:rPr>
        <w:footnoteRef/>
      </w:r>
      <w:r w:rsidRPr="005161A6">
        <w:rPr>
          <w:rFonts w:ascii="Times" w:hAnsi="Times"/>
        </w:rPr>
        <w:t xml:space="preserve"> </w:t>
      </w:r>
      <w:r>
        <w:rPr>
          <w:rFonts w:ascii="Times" w:hAnsi="Times"/>
        </w:rPr>
        <w:t xml:space="preserve">. </w:t>
      </w:r>
      <w:r w:rsidRPr="005161A6">
        <w:rPr>
          <w:rFonts w:ascii="Times" w:hAnsi="Times"/>
        </w:rPr>
        <w:t>Student Central: Key Supreme Court Cases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92"/>
    <w:rsid w:val="000266D6"/>
    <w:rsid w:val="002A064B"/>
    <w:rsid w:val="003C0D03"/>
    <w:rsid w:val="005161A6"/>
    <w:rsid w:val="007F7258"/>
    <w:rsid w:val="00870E92"/>
    <w:rsid w:val="0095107E"/>
    <w:rsid w:val="009E440B"/>
    <w:rsid w:val="00A73368"/>
    <w:rsid w:val="00EB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5E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0E92"/>
  </w:style>
  <w:style w:type="character" w:customStyle="1" w:styleId="FootnoteTextChar">
    <w:name w:val="Footnote Text Char"/>
    <w:basedOn w:val="DefaultParagraphFont"/>
    <w:link w:val="FootnoteText"/>
    <w:uiPriority w:val="99"/>
    <w:rsid w:val="00870E92"/>
  </w:style>
  <w:style w:type="character" w:styleId="FootnoteReference">
    <w:name w:val="footnote reference"/>
    <w:basedOn w:val="DefaultParagraphFont"/>
    <w:uiPriority w:val="99"/>
    <w:unhideWhenUsed/>
    <w:rsid w:val="00870E92"/>
    <w:rPr>
      <w:vertAlign w:val="superscript"/>
    </w:rPr>
  </w:style>
  <w:style w:type="character" w:styleId="Hyperlink">
    <w:name w:val="Hyperlink"/>
    <w:basedOn w:val="DefaultParagraphFont"/>
    <w:uiPriority w:val="99"/>
    <w:unhideWhenUsed/>
    <w:rsid w:val="005161A6"/>
    <w:rPr>
      <w:color w:val="0000FF" w:themeColor="hyperlink"/>
      <w:u w:val="single"/>
    </w:rPr>
  </w:style>
  <w:style w:type="character" w:styleId="FollowedHyperlink">
    <w:name w:val="FollowedHyperlink"/>
    <w:basedOn w:val="DefaultParagraphFont"/>
    <w:uiPriority w:val="99"/>
    <w:semiHidden/>
    <w:unhideWhenUsed/>
    <w:rsid w:val="00A733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0E92"/>
  </w:style>
  <w:style w:type="character" w:customStyle="1" w:styleId="FootnoteTextChar">
    <w:name w:val="Footnote Text Char"/>
    <w:basedOn w:val="DefaultParagraphFont"/>
    <w:link w:val="FootnoteText"/>
    <w:uiPriority w:val="99"/>
    <w:rsid w:val="00870E92"/>
  </w:style>
  <w:style w:type="character" w:styleId="FootnoteReference">
    <w:name w:val="footnote reference"/>
    <w:basedOn w:val="DefaultParagraphFont"/>
    <w:uiPriority w:val="99"/>
    <w:unhideWhenUsed/>
    <w:rsid w:val="00870E92"/>
    <w:rPr>
      <w:vertAlign w:val="superscript"/>
    </w:rPr>
  </w:style>
  <w:style w:type="character" w:styleId="Hyperlink">
    <w:name w:val="Hyperlink"/>
    <w:basedOn w:val="DefaultParagraphFont"/>
    <w:uiPriority w:val="99"/>
    <w:unhideWhenUsed/>
    <w:rsid w:val="005161A6"/>
    <w:rPr>
      <w:color w:val="0000FF" w:themeColor="hyperlink"/>
      <w:u w:val="single"/>
    </w:rPr>
  </w:style>
  <w:style w:type="character" w:styleId="FollowedHyperlink">
    <w:name w:val="FollowedHyperlink"/>
    <w:basedOn w:val="DefaultParagraphFont"/>
    <w:uiPriority w:val="99"/>
    <w:semiHidden/>
    <w:unhideWhenUsed/>
    <w:rsid w:val="00A73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mericanbar.org/groups/public_education/initiatives_awards/students_in_action/muller.html" TargetMode="External"/><Relationship Id="rId2" Type="http://schemas.openxmlformats.org/officeDocument/2006/relationships/hyperlink" Target="http://www.enotes.com/muller-v-oregon-reference/muller-v-oregon" TargetMode="External"/><Relationship Id="rId3" Type="http://schemas.openxmlformats.org/officeDocument/2006/relationships/hyperlink" Target="http://www.loc.gov/rr/program/bib/ourdocs/14thamend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A364-F1DC-CB43-9AEB-F0065F4E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261</Words>
  <Characters>1493</Characters>
  <Application>Microsoft Macintosh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Milano</dc:creator>
  <cp:keywords/>
  <dc:description/>
  <cp:lastModifiedBy>Nikki Milano</cp:lastModifiedBy>
  <cp:revision>4</cp:revision>
  <dcterms:created xsi:type="dcterms:W3CDTF">2012-09-06T02:43:00Z</dcterms:created>
  <dcterms:modified xsi:type="dcterms:W3CDTF">2012-10-01T23:13:00Z</dcterms:modified>
</cp:coreProperties>
</file>