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36" w:rsidRPr="00075529" w:rsidRDefault="00075529">
      <w:pPr>
        <w:rPr>
          <w:sz w:val="24"/>
          <w:szCs w:val="24"/>
        </w:rPr>
      </w:pPr>
      <w:r w:rsidRPr="00075529">
        <w:rPr>
          <w:sz w:val="24"/>
          <w:szCs w:val="24"/>
        </w:rPr>
        <w:t>Laura West</w:t>
      </w:r>
    </w:p>
    <w:p w:rsidR="00075529" w:rsidRPr="00075529" w:rsidRDefault="00075529">
      <w:pPr>
        <w:rPr>
          <w:sz w:val="24"/>
          <w:szCs w:val="24"/>
        </w:rPr>
      </w:pPr>
      <w:r w:rsidRPr="00075529">
        <w:rPr>
          <w:sz w:val="24"/>
          <w:szCs w:val="24"/>
        </w:rPr>
        <w:t>HIS 949</w:t>
      </w:r>
    </w:p>
    <w:p w:rsidR="00075529" w:rsidRPr="00075529" w:rsidRDefault="00075529">
      <w:pPr>
        <w:rPr>
          <w:sz w:val="24"/>
          <w:szCs w:val="24"/>
        </w:rPr>
      </w:pPr>
      <w:proofErr w:type="spellStart"/>
      <w:r w:rsidRPr="00075529">
        <w:rPr>
          <w:sz w:val="24"/>
          <w:szCs w:val="24"/>
        </w:rPr>
        <w:t>Varley</w:t>
      </w:r>
      <w:proofErr w:type="spellEnd"/>
      <w:r w:rsidRPr="00075529">
        <w:rPr>
          <w:sz w:val="24"/>
          <w:szCs w:val="24"/>
        </w:rPr>
        <w:t xml:space="preserve"> </w:t>
      </w:r>
    </w:p>
    <w:p w:rsidR="00075529" w:rsidRDefault="00075529" w:rsidP="00075529">
      <w:pPr>
        <w:jc w:val="center"/>
        <w:rPr>
          <w:sz w:val="24"/>
          <w:szCs w:val="24"/>
        </w:rPr>
      </w:pPr>
      <w:r w:rsidRPr="00075529">
        <w:rPr>
          <w:sz w:val="24"/>
          <w:szCs w:val="24"/>
        </w:rPr>
        <w:t>Business Timeline Event</w:t>
      </w:r>
      <w:r w:rsidR="0029684B">
        <w:rPr>
          <w:sz w:val="24"/>
          <w:szCs w:val="24"/>
        </w:rPr>
        <w:t xml:space="preserve"> Annotation</w:t>
      </w:r>
    </w:p>
    <w:p w:rsidR="00402CB1" w:rsidRDefault="006F0227" w:rsidP="00402CB1">
      <w:pPr>
        <w:spacing w:after="0" w:line="480" w:lineRule="auto"/>
        <w:rPr>
          <w:sz w:val="24"/>
          <w:szCs w:val="24"/>
        </w:rPr>
      </w:pPr>
      <w:proofErr w:type="spellStart"/>
      <w:r w:rsidRPr="00402CB1">
        <w:rPr>
          <w:sz w:val="24"/>
          <w:szCs w:val="24"/>
          <w:u w:val="single"/>
        </w:rPr>
        <w:t>Monongah</w:t>
      </w:r>
      <w:proofErr w:type="spellEnd"/>
      <w:r w:rsidRPr="00402CB1">
        <w:rPr>
          <w:sz w:val="24"/>
          <w:szCs w:val="24"/>
          <w:u w:val="single"/>
        </w:rPr>
        <w:t xml:space="preserve"> </w:t>
      </w:r>
      <w:r w:rsidR="00402CB1" w:rsidRPr="00402CB1">
        <w:rPr>
          <w:sz w:val="24"/>
          <w:szCs w:val="24"/>
          <w:u w:val="single"/>
        </w:rPr>
        <w:t>1907 Mine Disaster</w:t>
      </w:r>
      <w:r w:rsidR="00402CB1">
        <w:rPr>
          <w:sz w:val="24"/>
          <w:szCs w:val="24"/>
        </w:rPr>
        <w:t xml:space="preserve">. </w:t>
      </w:r>
      <w:proofErr w:type="gramStart"/>
      <w:r w:rsidR="00402CB1">
        <w:rPr>
          <w:sz w:val="24"/>
          <w:szCs w:val="24"/>
        </w:rPr>
        <w:t xml:space="preserve">Dir. </w:t>
      </w:r>
      <w:proofErr w:type="spellStart"/>
      <w:r w:rsidR="00402CB1">
        <w:rPr>
          <w:sz w:val="24"/>
          <w:szCs w:val="24"/>
        </w:rPr>
        <w:t>Davitt</w:t>
      </w:r>
      <w:proofErr w:type="spellEnd"/>
      <w:r w:rsidR="00402CB1">
        <w:rPr>
          <w:sz w:val="24"/>
          <w:szCs w:val="24"/>
        </w:rPr>
        <w:t xml:space="preserve"> </w:t>
      </w:r>
      <w:proofErr w:type="spellStart"/>
      <w:r w:rsidR="00402CB1">
        <w:rPr>
          <w:sz w:val="24"/>
          <w:szCs w:val="24"/>
        </w:rPr>
        <w:t>McAteer</w:t>
      </w:r>
      <w:proofErr w:type="spellEnd"/>
      <w:r w:rsidR="00402CB1">
        <w:rPr>
          <w:sz w:val="24"/>
          <w:szCs w:val="24"/>
        </w:rPr>
        <w:t>.</w:t>
      </w:r>
      <w:proofErr w:type="gramEnd"/>
      <w:r w:rsidR="00402CB1">
        <w:rPr>
          <w:sz w:val="24"/>
          <w:szCs w:val="24"/>
        </w:rPr>
        <w:t xml:space="preserve"> 1985. </w:t>
      </w:r>
    </w:p>
    <w:p w:rsidR="006F0227" w:rsidRPr="00402CB1" w:rsidRDefault="00402CB1" w:rsidP="00402CB1">
      <w:pPr>
        <w:spacing w:after="0" w:line="480" w:lineRule="auto"/>
        <w:ind w:firstLine="720"/>
        <w:rPr>
          <w:sz w:val="24"/>
          <w:szCs w:val="24"/>
        </w:rPr>
      </w:pPr>
      <w:hyperlink r:id="rId8" w:history="1">
        <w:r>
          <w:rPr>
            <w:rStyle w:val="Hyperlink"/>
          </w:rPr>
          <w:t>http://www.youtube.com/watch?v=8Nq2ryRSdpk</w:t>
        </w:r>
      </w:hyperlink>
    </w:p>
    <w:p w:rsidR="00402CB1" w:rsidRDefault="006F0227" w:rsidP="00402CB1">
      <w:pPr>
        <w:spacing w:after="0" w:line="480" w:lineRule="auto"/>
        <w:ind w:firstLine="720"/>
        <w:rPr>
          <w:sz w:val="24"/>
          <w:szCs w:val="24"/>
        </w:rPr>
      </w:pPr>
      <w:r>
        <w:rPr>
          <w:sz w:val="24"/>
          <w:szCs w:val="24"/>
        </w:rPr>
        <w:t xml:space="preserve">On December6th 1907 a </w:t>
      </w:r>
      <w:r w:rsidR="00402CB1">
        <w:rPr>
          <w:sz w:val="24"/>
          <w:szCs w:val="24"/>
        </w:rPr>
        <w:t xml:space="preserve">coal mine 365-500 men and boys are working in the </w:t>
      </w:r>
      <w:proofErr w:type="spellStart"/>
      <w:r w:rsidR="00402CB1">
        <w:rPr>
          <w:sz w:val="24"/>
          <w:szCs w:val="24"/>
        </w:rPr>
        <w:t>Monongah</w:t>
      </w:r>
      <w:proofErr w:type="spellEnd"/>
      <w:r w:rsidR="00402CB1">
        <w:rPr>
          <w:sz w:val="24"/>
          <w:szCs w:val="24"/>
        </w:rPr>
        <w:t xml:space="preserve"> mines of West Virginia.  At 10:28 am an explosion occurs in the mines, the explosion is so loud that it is heard 8 miles away in the next town.</w:t>
      </w:r>
      <w:r w:rsidR="00075529">
        <w:rPr>
          <w:sz w:val="24"/>
          <w:szCs w:val="24"/>
        </w:rPr>
        <w:t xml:space="preserve"> </w:t>
      </w:r>
      <w:r w:rsidR="00402CB1">
        <w:rPr>
          <w:sz w:val="24"/>
          <w:szCs w:val="24"/>
        </w:rPr>
        <w:t xml:space="preserve">To this day no one is sure of the exact numbers of the men who were trapped in those mines because during this time no records of employment were kept. 3,000 people lived in the town of </w:t>
      </w:r>
      <w:proofErr w:type="spellStart"/>
      <w:r w:rsidR="00402CB1">
        <w:rPr>
          <w:sz w:val="24"/>
          <w:szCs w:val="24"/>
        </w:rPr>
        <w:t>Monongah</w:t>
      </w:r>
      <w:proofErr w:type="spellEnd"/>
      <w:r w:rsidR="00402CB1">
        <w:rPr>
          <w:sz w:val="24"/>
          <w:szCs w:val="24"/>
        </w:rPr>
        <w:t xml:space="preserve">, most of the men living in </w:t>
      </w:r>
      <w:proofErr w:type="spellStart"/>
      <w:r w:rsidR="00402CB1">
        <w:rPr>
          <w:sz w:val="24"/>
          <w:szCs w:val="24"/>
        </w:rPr>
        <w:t>Monongah</w:t>
      </w:r>
      <w:proofErr w:type="spellEnd"/>
      <w:r w:rsidR="00402CB1">
        <w:rPr>
          <w:sz w:val="24"/>
          <w:szCs w:val="24"/>
        </w:rPr>
        <w:t xml:space="preserve"> worked in the coal mines that were located in the hills surrounding the town. </w:t>
      </w:r>
      <w:r w:rsidR="00040D0B">
        <w:rPr>
          <w:sz w:val="24"/>
          <w:szCs w:val="24"/>
        </w:rPr>
        <w:t xml:space="preserve">More than 1,000 men worked in these mines. </w:t>
      </w:r>
      <w:r w:rsidR="00040D0B">
        <w:rPr>
          <w:rStyle w:val="FootnoteReference"/>
          <w:sz w:val="24"/>
          <w:szCs w:val="24"/>
        </w:rPr>
        <w:footnoteReference w:id="1"/>
      </w:r>
    </w:p>
    <w:p w:rsidR="00040D0B" w:rsidRDefault="00040D0B" w:rsidP="00402CB1">
      <w:pPr>
        <w:spacing w:after="0" w:line="480" w:lineRule="auto"/>
        <w:ind w:firstLine="720"/>
        <w:rPr>
          <w:sz w:val="24"/>
          <w:szCs w:val="24"/>
        </w:rPr>
      </w:pPr>
      <w:r>
        <w:rPr>
          <w:sz w:val="24"/>
          <w:szCs w:val="24"/>
        </w:rPr>
        <w:t>By the year of 1907 the coal mining industry is only 50 years old, but unfortunately it has already killed and crippled more men than any of the civil war battles.</w:t>
      </w:r>
      <w:r>
        <w:rPr>
          <w:rStyle w:val="FootnoteReference"/>
          <w:sz w:val="24"/>
          <w:szCs w:val="24"/>
        </w:rPr>
        <w:footnoteReference w:id="2"/>
      </w:r>
      <w:r>
        <w:rPr>
          <w:sz w:val="24"/>
          <w:szCs w:val="24"/>
        </w:rPr>
        <w:t xml:space="preserve"> Because of this men are traveling to Europe in order to find volunteers who will come to America to work in the mines.</w:t>
      </w:r>
    </w:p>
    <w:p w:rsidR="0029684B" w:rsidRDefault="0029684B" w:rsidP="00040D0B">
      <w:pPr>
        <w:spacing w:after="0" w:line="480" w:lineRule="auto"/>
        <w:rPr>
          <w:sz w:val="24"/>
          <w:szCs w:val="24"/>
        </w:rPr>
      </w:pPr>
      <w:r>
        <w:rPr>
          <w:sz w:val="24"/>
          <w:szCs w:val="24"/>
        </w:rPr>
        <w:t>This event gives us insight into how dangerous mining conditions we</w:t>
      </w:r>
      <w:r w:rsidR="00402CB1">
        <w:rPr>
          <w:sz w:val="24"/>
          <w:szCs w:val="24"/>
        </w:rPr>
        <w:t xml:space="preserve">re in the early 1900’s </w:t>
      </w:r>
      <w:r>
        <w:rPr>
          <w:sz w:val="24"/>
          <w:szCs w:val="24"/>
        </w:rPr>
        <w:t xml:space="preserve">and also shows how desperate people in the U.S. as well as immigrants from Europe were for work. </w:t>
      </w:r>
    </w:p>
    <w:p w:rsidR="00040D0B" w:rsidRDefault="00040D0B" w:rsidP="00040D0B">
      <w:pPr>
        <w:spacing w:after="0" w:line="480" w:lineRule="auto"/>
        <w:rPr>
          <w:sz w:val="24"/>
          <w:szCs w:val="24"/>
        </w:rPr>
      </w:pPr>
      <w:r>
        <w:rPr>
          <w:sz w:val="24"/>
          <w:szCs w:val="24"/>
        </w:rPr>
        <w:t>The fatal accident frequency rate for the mining industry in America is 2x as high as in Germany, roughly 3x as high as in England, and roughly 4x as high as in France.</w:t>
      </w:r>
      <w:r>
        <w:rPr>
          <w:rStyle w:val="FootnoteReference"/>
          <w:sz w:val="24"/>
          <w:szCs w:val="24"/>
        </w:rPr>
        <w:footnoteReference w:id="3"/>
      </w:r>
      <w:r>
        <w:rPr>
          <w:sz w:val="24"/>
          <w:szCs w:val="24"/>
        </w:rPr>
        <w:t xml:space="preserve"> The mine industry was </w:t>
      </w:r>
      <w:r>
        <w:rPr>
          <w:sz w:val="24"/>
          <w:szCs w:val="24"/>
        </w:rPr>
        <w:lastRenderedPageBreak/>
        <w:t>having such a struggle to find workers that even boys as young as 8 years old are working in the mines. This is possible because in the mining industry there are no Unions or Federal laws to help them if they are injured on the job, there are also no laws controlling child labor.</w:t>
      </w:r>
      <w:r>
        <w:rPr>
          <w:rStyle w:val="FootnoteReference"/>
          <w:sz w:val="24"/>
          <w:szCs w:val="24"/>
        </w:rPr>
        <w:footnoteReference w:id="4"/>
      </w:r>
      <w:r>
        <w:rPr>
          <w:sz w:val="24"/>
          <w:szCs w:val="24"/>
        </w:rPr>
        <w:t xml:space="preserve"> Although the risks for working in the mines of America were very high many were not worried in particular about the </w:t>
      </w:r>
      <w:proofErr w:type="spellStart"/>
      <w:r>
        <w:rPr>
          <w:sz w:val="24"/>
          <w:szCs w:val="24"/>
        </w:rPr>
        <w:t>Monongah</w:t>
      </w:r>
      <w:proofErr w:type="spellEnd"/>
      <w:r>
        <w:rPr>
          <w:sz w:val="24"/>
          <w:szCs w:val="24"/>
        </w:rPr>
        <w:t xml:space="preserve"> mines. The mines in </w:t>
      </w:r>
      <w:proofErr w:type="spellStart"/>
      <w:r>
        <w:rPr>
          <w:sz w:val="24"/>
          <w:szCs w:val="24"/>
        </w:rPr>
        <w:t>Monongah</w:t>
      </w:r>
      <w:proofErr w:type="spellEnd"/>
      <w:r>
        <w:rPr>
          <w:sz w:val="24"/>
          <w:szCs w:val="24"/>
        </w:rPr>
        <w:t xml:space="preserve">, West Virginia were seen as model mines to almost everyone. </w:t>
      </w:r>
      <w:r w:rsidR="00D83E19">
        <w:rPr>
          <w:sz w:val="24"/>
          <w:szCs w:val="24"/>
        </w:rPr>
        <w:t xml:space="preserve">Sadly, almost everyone was wrong and one of the worst coal mining explosions occurred in </w:t>
      </w:r>
      <w:proofErr w:type="spellStart"/>
      <w:r w:rsidR="00D83E19">
        <w:rPr>
          <w:sz w:val="24"/>
          <w:szCs w:val="24"/>
        </w:rPr>
        <w:t>Monongah</w:t>
      </w:r>
      <w:proofErr w:type="spellEnd"/>
      <w:r w:rsidR="00D83E19">
        <w:rPr>
          <w:sz w:val="24"/>
          <w:szCs w:val="24"/>
        </w:rPr>
        <w:t xml:space="preserve">, and due to its severity this mine explosion led to the first faint stirrings </w:t>
      </w:r>
      <w:proofErr w:type="gramStart"/>
      <w:r w:rsidR="00D83E19">
        <w:rPr>
          <w:sz w:val="24"/>
          <w:szCs w:val="24"/>
        </w:rPr>
        <w:t>of  enlightenment</w:t>
      </w:r>
      <w:proofErr w:type="gramEnd"/>
      <w:r w:rsidR="00D83E19">
        <w:rPr>
          <w:sz w:val="24"/>
          <w:szCs w:val="24"/>
        </w:rPr>
        <w:t xml:space="preserve"> in mine safety.</w:t>
      </w:r>
      <w:r w:rsidR="00D83E19">
        <w:rPr>
          <w:rStyle w:val="FootnoteReference"/>
          <w:sz w:val="24"/>
          <w:szCs w:val="24"/>
        </w:rPr>
        <w:footnoteReference w:id="5"/>
      </w:r>
    </w:p>
    <w:p w:rsidR="00075529" w:rsidRDefault="00075529" w:rsidP="00075529"/>
    <w:sectPr w:rsidR="000755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13" w:rsidRDefault="00334D13" w:rsidP="00040D0B">
      <w:pPr>
        <w:spacing w:after="0" w:line="240" w:lineRule="auto"/>
      </w:pPr>
      <w:r>
        <w:separator/>
      </w:r>
    </w:p>
  </w:endnote>
  <w:endnote w:type="continuationSeparator" w:id="0">
    <w:p w:rsidR="00334D13" w:rsidRDefault="00334D13" w:rsidP="0004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13" w:rsidRDefault="00334D13" w:rsidP="00040D0B">
      <w:pPr>
        <w:spacing w:after="0" w:line="240" w:lineRule="auto"/>
      </w:pPr>
      <w:r>
        <w:separator/>
      </w:r>
    </w:p>
  </w:footnote>
  <w:footnote w:type="continuationSeparator" w:id="0">
    <w:p w:rsidR="00334D13" w:rsidRDefault="00334D13" w:rsidP="00040D0B">
      <w:pPr>
        <w:spacing w:after="0" w:line="240" w:lineRule="auto"/>
      </w:pPr>
      <w:r>
        <w:continuationSeparator/>
      </w:r>
    </w:p>
  </w:footnote>
  <w:footnote w:id="1">
    <w:p w:rsidR="00040D0B" w:rsidRDefault="00040D0B" w:rsidP="00040D0B">
      <w:pPr>
        <w:spacing w:after="0" w:line="240" w:lineRule="auto"/>
        <w:contextualSpacing/>
        <w:rPr>
          <w:sz w:val="24"/>
          <w:szCs w:val="24"/>
        </w:rPr>
      </w:pPr>
      <w:r>
        <w:rPr>
          <w:rStyle w:val="FootnoteReference"/>
        </w:rPr>
        <w:footnoteRef/>
      </w:r>
      <w:r>
        <w:t xml:space="preserve"> </w:t>
      </w:r>
      <w:proofErr w:type="spellStart"/>
      <w:r w:rsidRPr="00040D0B">
        <w:rPr>
          <w:u w:val="single"/>
        </w:rPr>
        <w:t>Monongah</w:t>
      </w:r>
      <w:proofErr w:type="spellEnd"/>
      <w:r w:rsidRPr="00040D0B">
        <w:rPr>
          <w:u w:val="single"/>
        </w:rPr>
        <w:t xml:space="preserve"> 1907 Mine Disaster</w:t>
      </w:r>
      <w:r w:rsidRPr="00040D0B">
        <w:t xml:space="preserve">. </w:t>
      </w:r>
      <w:proofErr w:type="gramStart"/>
      <w:r w:rsidRPr="00040D0B">
        <w:t xml:space="preserve">Dir. </w:t>
      </w:r>
      <w:proofErr w:type="spellStart"/>
      <w:r w:rsidRPr="00040D0B">
        <w:t>Davitt</w:t>
      </w:r>
      <w:proofErr w:type="spellEnd"/>
      <w:r w:rsidRPr="00040D0B">
        <w:t xml:space="preserve"> </w:t>
      </w:r>
      <w:proofErr w:type="spellStart"/>
      <w:r w:rsidRPr="00040D0B">
        <w:t>McAteer</w:t>
      </w:r>
      <w:proofErr w:type="spellEnd"/>
      <w:r w:rsidRPr="00040D0B">
        <w:t>.</w:t>
      </w:r>
      <w:proofErr w:type="gramEnd"/>
      <w:r w:rsidRPr="00040D0B">
        <w:t xml:space="preserve"> 1985.</w:t>
      </w:r>
      <w:r>
        <w:rPr>
          <w:sz w:val="24"/>
          <w:szCs w:val="24"/>
        </w:rPr>
        <w:t xml:space="preserve"> </w:t>
      </w:r>
    </w:p>
    <w:p w:rsidR="00040D0B" w:rsidRDefault="00040D0B" w:rsidP="00040D0B">
      <w:pPr>
        <w:pStyle w:val="FootnoteText"/>
        <w:contextualSpacing/>
      </w:pPr>
    </w:p>
  </w:footnote>
  <w:footnote w:id="2">
    <w:p w:rsidR="00040D0B" w:rsidRDefault="00040D0B" w:rsidP="00040D0B">
      <w:pPr>
        <w:pStyle w:val="FootnoteText"/>
        <w:contextualSpacing/>
      </w:pPr>
      <w:r>
        <w:rPr>
          <w:rStyle w:val="FootnoteReference"/>
        </w:rPr>
        <w:footnoteRef/>
      </w:r>
      <w:r>
        <w:t xml:space="preserve"> Ibid </w:t>
      </w:r>
    </w:p>
  </w:footnote>
  <w:footnote w:id="3">
    <w:p w:rsidR="00040D0B" w:rsidRDefault="00040D0B" w:rsidP="00040D0B">
      <w:pPr>
        <w:spacing w:after="0" w:line="240" w:lineRule="auto"/>
        <w:contextualSpacing/>
        <w:rPr>
          <w:sz w:val="24"/>
          <w:szCs w:val="24"/>
        </w:rPr>
      </w:pPr>
      <w:r>
        <w:rPr>
          <w:rStyle w:val="FootnoteReference"/>
        </w:rPr>
        <w:footnoteRef/>
      </w:r>
      <w:r>
        <w:t xml:space="preserve"> </w:t>
      </w:r>
      <w:r w:rsidR="00D83E19">
        <w:t>Ibid</w:t>
      </w:r>
      <w:r>
        <w:rPr>
          <w:sz w:val="24"/>
          <w:szCs w:val="24"/>
        </w:rPr>
        <w:t xml:space="preserve"> </w:t>
      </w:r>
    </w:p>
    <w:p w:rsidR="00040D0B" w:rsidRDefault="00040D0B">
      <w:pPr>
        <w:pStyle w:val="FootnoteText"/>
      </w:pPr>
    </w:p>
  </w:footnote>
  <w:footnote w:id="4">
    <w:p w:rsidR="00040D0B" w:rsidRDefault="00040D0B">
      <w:pPr>
        <w:pStyle w:val="FootnoteText"/>
      </w:pPr>
      <w:r>
        <w:rPr>
          <w:rStyle w:val="FootnoteReference"/>
        </w:rPr>
        <w:footnoteRef/>
      </w:r>
      <w:r>
        <w:t xml:space="preserve"> </w:t>
      </w:r>
      <w:r w:rsidR="00D83E19">
        <w:t xml:space="preserve"> </w:t>
      </w:r>
      <w:proofErr w:type="spellStart"/>
      <w:r w:rsidR="00D83E19" w:rsidRPr="00040D0B">
        <w:rPr>
          <w:sz w:val="22"/>
          <w:szCs w:val="22"/>
          <w:u w:val="single"/>
        </w:rPr>
        <w:t>Monongah</w:t>
      </w:r>
      <w:proofErr w:type="spellEnd"/>
      <w:r w:rsidR="00D83E19" w:rsidRPr="00040D0B">
        <w:rPr>
          <w:sz w:val="22"/>
          <w:szCs w:val="22"/>
          <w:u w:val="single"/>
        </w:rPr>
        <w:t xml:space="preserve"> 1907 Mine Disaster</w:t>
      </w:r>
      <w:r w:rsidR="00D83E19" w:rsidRPr="00040D0B">
        <w:rPr>
          <w:sz w:val="22"/>
          <w:szCs w:val="22"/>
        </w:rPr>
        <w:t xml:space="preserve">. </w:t>
      </w:r>
      <w:proofErr w:type="gramStart"/>
      <w:r w:rsidR="00D83E19" w:rsidRPr="00040D0B">
        <w:rPr>
          <w:sz w:val="22"/>
          <w:szCs w:val="22"/>
        </w:rPr>
        <w:t>Dir</w:t>
      </w:r>
      <w:r w:rsidR="00D83E19">
        <w:rPr>
          <w:sz w:val="22"/>
          <w:szCs w:val="22"/>
        </w:rPr>
        <w:t xml:space="preserve">. </w:t>
      </w:r>
      <w:proofErr w:type="spellStart"/>
      <w:r w:rsidR="00D83E19">
        <w:rPr>
          <w:sz w:val="22"/>
          <w:szCs w:val="22"/>
        </w:rPr>
        <w:t>Davitt</w:t>
      </w:r>
      <w:proofErr w:type="spellEnd"/>
      <w:r w:rsidR="00D83E19">
        <w:rPr>
          <w:sz w:val="22"/>
          <w:szCs w:val="22"/>
        </w:rPr>
        <w:t xml:space="preserve"> </w:t>
      </w:r>
      <w:proofErr w:type="spellStart"/>
      <w:r w:rsidR="00D83E19">
        <w:rPr>
          <w:sz w:val="22"/>
          <w:szCs w:val="22"/>
        </w:rPr>
        <w:t>McAteer</w:t>
      </w:r>
      <w:proofErr w:type="spellEnd"/>
      <w:r w:rsidR="00D83E19">
        <w:rPr>
          <w:sz w:val="22"/>
          <w:szCs w:val="22"/>
        </w:rPr>
        <w:t>.</w:t>
      </w:r>
      <w:proofErr w:type="gramEnd"/>
      <w:r w:rsidR="00D83E19">
        <w:rPr>
          <w:sz w:val="22"/>
          <w:szCs w:val="22"/>
        </w:rPr>
        <w:t xml:space="preserve"> 1985.</w:t>
      </w:r>
      <w:bookmarkStart w:id="0" w:name="_GoBack"/>
      <w:bookmarkEnd w:id="0"/>
    </w:p>
  </w:footnote>
  <w:footnote w:id="5">
    <w:p w:rsidR="00D83E19" w:rsidRDefault="00D83E19">
      <w:pPr>
        <w:pStyle w:val="FootnoteText"/>
      </w:pPr>
      <w:r>
        <w:rPr>
          <w:rStyle w:val="FootnoteReference"/>
        </w:rPr>
        <w:footnoteRef/>
      </w:r>
      <w: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29"/>
    <w:rsid w:val="00040D0B"/>
    <w:rsid w:val="00075529"/>
    <w:rsid w:val="001C3236"/>
    <w:rsid w:val="0029684B"/>
    <w:rsid w:val="00334D13"/>
    <w:rsid w:val="00402CB1"/>
    <w:rsid w:val="005B31FE"/>
    <w:rsid w:val="006F0227"/>
    <w:rsid w:val="00997589"/>
    <w:rsid w:val="00D83E19"/>
    <w:rsid w:val="00E6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CB1"/>
    <w:rPr>
      <w:color w:val="0000FF"/>
      <w:u w:val="single"/>
    </w:rPr>
  </w:style>
  <w:style w:type="paragraph" w:styleId="FootnoteText">
    <w:name w:val="footnote text"/>
    <w:basedOn w:val="Normal"/>
    <w:link w:val="FootnoteTextChar"/>
    <w:uiPriority w:val="99"/>
    <w:semiHidden/>
    <w:unhideWhenUsed/>
    <w:rsid w:val="00040D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D0B"/>
    <w:rPr>
      <w:sz w:val="20"/>
      <w:szCs w:val="20"/>
    </w:rPr>
  </w:style>
  <w:style w:type="character" w:styleId="FootnoteReference">
    <w:name w:val="footnote reference"/>
    <w:basedOn w:val="DefaultParagraphFont"/>
    <w:uiPriority w:val="99"/>
    <w:semiHidden/>
    <w:unhideWhenUsed/>
    <w:rsid w:val="00040D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CB1"/>
    <w:rPr>
      <w:color w:val="0000FF"/>
      <w:u w:val="single"/>
    </w:rPr>
  </w:style>
  <w:style w:type="paragraph" w:styleId="FootnoteText">
    <w:name w:val="footnote text"/>
    <w:basedOn w:val="Normal"/>
    <w:link w:val="FootnoteTextChar"/>
    <w:uiPriority w:val="99"/>
    <w:semiHidden/>
    <w:unhideWhenUsed/>
    <w:rsid w:val="00040D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D0B"/>
    <w:rPr>
      <w:sz w:val="20"/>
      <w:szCs w:val="20"/>
    </w:rPr>
  </w:style>
  <w:style w:type="character" w:styleId="FootnoteReference">
    <w:name w:val="footnote reference"/>
    <w:basedOn w:val="DefaultParagraphFont"/>
    <w:uiPriority w:val="99"/>
    <w:semiHidden/>
    <w:unhideWhenUsed/>
    <w:rsid w:val="00040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8Nq2ryRSdp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319D4-DE4E-407B-B2B9-7911AC84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2012-09-26T15:35:00Z</dcterms:created>
  <dcterms:modified xsi:type="dcterms:W3CDTF">2012-11-02T16:56:00Z</dcterms:modified>
</cp:coreProperties>
</file>